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23-26-094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Wärmeversorgungsanlagen I 1. BA. Walter-Erbe-Realschule Tübingen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Heizungsinstallation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